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6A" w:rsidRDefault="009C376A" w:rsidP="009C376A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561045" w:rsidRPr="008A79F9" w:rsidRDefault="00561045" w:rsidP="00561045">
      <w:pPr>
        <w:pStyle w:val="ListParagraph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9C376A" w:rsidRDefault="00561045" w:rsidP="00B234C2">
      <w:pPr>
        <w:pStyle w:val="ListParagraph"/>
        <w:spacing w:after="120" w:line="240" w:lineRule="auto"/>
        <w:ind w:left="0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Ticaret Sicil No: </w:t>
      </w:r>
      <w:proofErr w:type="gramStart"/>
      <w:r w:rsidRPr="009C376A">
        <w:rPr>
          <w:color w:val="000000" w:themeColor="text1"/>
          <w:sz w:val="24"/>
          <w:szCs w:val="24"/>
        </w:rPr>
        <w:t>…………………….</w:t>
      </w:r>
      <w:proofErr w:type="gramEnd"/>
    </w:p>
    <w:p w:rsidR="00561045" w:rsidRPr="009C376A" w:rsidRDefault="00561045" w:rsidP="00B234C2">
      <w:pPr>
        <w:pStyle w:val="ListParagraph"/>
        <w:spacing w:after="120" w:line="240" w:lineRule="auto"/>
        <w:ind w:left="0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>Ticaret Unvanı</w:t>
      </w:r>
    </w:p>
    <w:p w:rsidR="00561045" w:rsidRPr="009C376A" w:rsidRDefault="00561045" w:rsidP="00B234C2">
      <w:pPr>
        <w:pStyle w:val="ListParagraph"/>
        <w:spacing w:after="120" w:line="240" w:lineRule="auto"/>
        <w:ind w:left="0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>………………………………………………………………………….</w:t>
      </w:r>
    </w:p>
    <w:p w:rsidR="00561045" w:rsidRPr="009C376A" w:rsidRDefault="00561045" w:rsidP="00B234C2">
      <w:pPr>
        <w:pStyle w:val="ListParagraph"/>
        <w:spacing w:after="120" w:line="240" w:lineRule="auto"/>
        <w:ind w:left="0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>………………………………</w:t>
      </w:r>
      <w:r w:rsidR="0033330C" w:rsidRPr="009C376A">
        <w:rPr>
          <w:color w:val="000000" w:themeColor="text1"/>
          <w:sz w:val="24"/>
          <w:szCs w:val="24"/>
        </w:rPr>
        <w:t>…………………………………….</w:t>
      </w:r>
      <w:r w:rsidRPr="009C376A">
        <w:rPr>
          <w:color w:val="000000" w:themeColor="text1"/>
          <w:sz w:val="24"/>
          <w:szCs w:val="24"/>
        </w:rPr>
        <w:t xml:space="preserve"> </w:t>
      </w:r>
      <w:r w:rsidR="002E39D8" w:rsidRPr="009C376A">
        <w:rPr>
          <w:color w:val="000000" w:themeColor="text1"/>
          <w:sz w:val="24"/>
          <w:szCs w:val="24"/>
        </w:rPr>
        <w:t>Limited</w:t>
      </w:r>
      <w:r w:rsidRPr="009C376A">
        <w:rPr>
          <w:color w:val="000000" w:themeColor="text1"/>
          <w:sz w:val="24"/>
          <w:szCs w:val="24"/>
        </w:rPr>
        <w:t xml:space="preserve"> Şirketi</w:t>
      </w:r>
    </w:p>
    <w:p w:rsidR="00561045" w:rsidRPr="009C376A" w:rsidRDefault="00561045" w:rsidP="00561045">
      <w:pPr>
        <w:pStyle w:val="ListParagraph"/>
        <w:spacing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Ticari Adresi: </w:t>
      </w:r>
      <w:proofErr w:type="gramStart"/>
      <w:r w:rsidRPr="009C376A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End"/>
    </w:p>
    <w:p w:rsidR="00561045" w:rsidRPr="009C376A" w:rsidRDefault="00561045" w:rsidP="00561045">
      <w:pPr>
        <w:pStyle w:val="ListParagraph"/>
        <w:spacing w:after="120" w:line="240" w:lineRule="auto"/>
        <w:ind w:left="0"/>
        <w:jc w:val="both"/>
        <w:rPr>
          <w:color w:val="000000" w:themeColor="text1"/>
          <w:sz w:val="24"/>
          <w:szCs w:val="24"/>
        </w:rPr>
      </w:pPr>
    </w:p>
    <w:p w:rsidR="004B0FFC" w:rsidRPr="009C376A" w:rsidRDefault="00406C78" w:rsidP="004B0FFC">
      <w:pPr>
        <w:pStyle w:val="ListParagraph"/>
        <w:spacing w:before="36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>Genel Kurul Toplantısına Davet;</w:t>
      </w:r>
    </w:p>
    <w:p w:rsidR="004B0FFC" w:rsidRPr="009C376A" w:rsidRDefault="004B0FFC" w:rsidP="0033330C">
      <w:pPr>
        <w:pStyle w:val="ListParagraph"/>
        <w:spacing w:before="360" w:after="120" w:line="240" w:lineRule="auto"/>
        <w:ind w:left="0"/>
        <w:jc w:val="both"/>
        <w:rPr>
          <w:color w:val="000000" w:themeColor="text1"/>
          <w:sz w:val="24"/>
          <w:szCs w:val="24"/>
        </w:rPr>
      </w:pPr>
    </w:p>
    <w:p w:rsidR="00561045" w:rsidRPr="009C376A" w:rsidRDefault="00561045" w:rsidP="0033330C">
      <w:pPr>
        <w:pStyle w:val="ListParagraph"/>
        <w:spacing w:before="36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Yukarıda bilgileri yazılı </w:t>
      </w:r>
      <w:r w:rsidR="002E39D8" w:rsidRPr="009C376A">
        <w:rPr>
          <w:color w:val="000000" w:themeColor="text1"/>
          <w:sz w:val="24"/>
          <w:szCs w:val="24"/>
        </w:rPr>
        <w:t>Ş</w:t>
      </w:r>
      <w:r w:rsidRPr="009C376A">
        <w:rPr>
          <w:color w:val="000000" w:themeColor="text1"/>
          <w:sz w:val="24"/>
          <w:szCs w:val="24"/>
        </w:rPr>
        <w:t>irketimiz</w:t>
      </w:r>
      <w:r w:rsidR="002E39D8" w:rsidRPr="009C376A">
        <w:rPr>
          <w:color w:val="000000" w:themeColor="text1"/>
          <w:sz w:val="24"/>
          <w:szCs w:val="24"/>
        </w:rPr>
        <w:t>in Müdürler</w:t>
      </w:r>
      <w:r w:rsidR="00952C3A" w:rsidRPr="009C376A">
        <w:rPr>
          <w:color w:val="000000" w:themeColor="text1"/>
          <w:sz w:val="24"/>
          <w:szCs w:val="24"/>
        </w:rPr>
        <w:t xml:space="preserve"> Kurulunca</w:t>
      </w:r>
      <w:r w:rsidRPr="009C376A">
        <w:rPr>
          <w:color w:val="000000" w:themeColor="text1"/>
          <w:sz w:val="24"/>
          <w:szCs w:val="24"/>
        </w:rPr>
        <w:t xml:space="preserve"> </w:t>
      </w:r>
      <w:r w:rsidR="002E39D8" w:rsidRPr="009C376A">
        <w:rPr>
          <w:color w:val="000000" w:themeColor="text1"/>
          <w:sz w:val="24"/>
          <w:szCs w:val="24"/>
        </w:rPr>
        <w:t xml:space="preserve">alınan </w:t>
      </w:r>
      <w:r w:rsidRPr="009C376A">
        <w:rPr>
          <w:color w:val="000000" w:themeColor="text1"/>
          <w:sz w:val="24"/>
          <w:szCs w:val="24"/>
        </w:rPr>
        <w:t>……/……/………</w:t>
      </w:r>
      <w:r w:rsidR="002E39D8" w:rsidRPr="009C376A">
        <w:rPr>
          <w:color w:val="000000" w:themeColor="text1"/>
          <w:sz w:val="24"/>
          <w:szCs w:val="24"/>
        </w:rPr>
        <w:t xml:space="preserve"> tarihli </w:t>
      </w:r>
      <w:r w:rsidRPr="009C376A">
        <w:rPr>
          <w:color w:val="000000" w:themeColor="text1"/>
          <w:sz w:val="24"/>
          <w:szCs w:val="24"/>
        </w:rPr>
        <w:t>karar</w:t>
      </w:r>
      <w:r w:rsidR="002E39D8" w:rsidRPr="009C376A">
        <w:rPr>
          <w:color w:val="000000" w:themeColor="text1"/>
          <w:sz w:val="24"/>
          <w:szCs w:val="24"/>
        </w:rPr>
        <w:t>a</w:t>
      </w:r>
      <w:r w:rsidRPr="009C376A">
        <w:rPr>
          <w:color w:val="000000" w:themeColor="text1"/>
          <w:sz w:val="24"/>
          <w:szCs w:val="24"/>
        </w:rPr>
        <w:t xml:space="preserve"> istinaden; ……/……/……… tarihinde, saat: ……:……’da, ……………………………………………………. ………………………………………………………….. adresinde, aşağıdaki gündem maddeleri çerçevesinde …………………. yılı </w:t>
      </w:r>
      <w:r w:rsidRPr="009C376A">
        <w:rPr>
          <w:color w:val="FF0000"/>
          <w:sz w:val="24"/>
          <w:szCs w:val="24"/>
        </w:rPr>
        <w:t xml:space="preserve">olağan/olağanüstü </w:t>
      </w:r>
      <w:r w:rsidRPr="009C376A">
        <w:rPr>
          <w:color w:val="000000" w:themeColor="text1"/>
          <w:sz w:val="24"/>
          <w:szCs w:val="24"/>
        </w:rPr>
        <w:t xml:space="preserve">genel kurul toplantısı gerçekleştirilecektir.  </w:t>
      </w:r>
    </w:p>
    <w:p w:rsidR="0033330C" w:rsidRPr="009C376A" w:rsidRDefault="0033330C" w:rsidP="0033330C">
      <w:pPr>
        <w:spacing w:before="360"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>Finansal tablolar, yıllık faaliyet raporu, denetleme raporları ve kâr dağıtım önerisi genel kurul toplantısından en az onbeş gün önce şirket merkezinde ve şubelerimizde pay sahiplerinin incelemesine hazır bulundurulacaktır.</w:t>
      </w:r>
    </w:p>
    <w:p w:rsidR="00561045" w:rsidRPr="009C376A" w:rsidRDefault="00561045" w:rsidP="0033330C">
      <w:pPr>
        <w:spacing w:before="360"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Genel kurul toplantımıza, ortaklarımızın asaleten veya aşağıya çıkarılan vekâletname ile </w:t>
      </w:r>
      <w:r w:rsidR="00EA2A5A" w:rsidRPr="009C376A">
        <w:rPr>
          <w:color w:val="000000" w:themeColor="text1"/>
          <w:sz w:val="24"/>
          <w:szCs w:val="24"/>
        </w:rPr>
        <w:t>temsilcile</w:t>
      </w:r>
      <w:r w:rsidRPr="009C376A">
        <w:rPr>
          <w:color w:val="000000" w:themeColor="text1"/>
          <w:sz w:val="24"/>
          <w:szCs w:val="24"/>
        </w:rPr>
        <w:t xml:space="preserve">rinin katılımının sağlanması </w:t>
      </w:r>
      <w:r w:rsidR="009562E3" w:rsidRPr="009C376A">
        <w:rPr>
          <w:color w:val="000000" w:themeColor="text1"/>
          <w:sz w:val="24"/>
          <w:szCs w:val="24"/>
        </w:rPr>
        <w:t xml:space="preserve">hususu </w:t>
      </w:r>
      <w:r w:rsidRPr="009C376A">
        <w:rPr>
          <w:color w:val="000000" w:themeColor="text1"/>
          <w:sz w:val="24"/>
          <w:szCs w:val="24"/>
        </w:rPr>
        <w:t>ilan olunur.</w:t>
      </w:r>
    </w:p>
    <w:p w:rsidR="00527C48" w:rsidRPr="005057A8" w:rsidRDefault="00527C48" w:rsidP="00527C48">
      <w:pPr>
        <w:pStyle w:val="ListParagraph"/>
        <w:spacing w:after="120" w:line="240" w:lineRule="auto"/>
        <w:ind w:left="6372" w:firstLine="708"/>
        <w:rPr>
          <w:color w:val="FF0000"/>
          <w:sz w:val="24"/>
          <w:szCs w:val="24"/>
        </w:rPr>
      </w:pPr>
      <w:r w:rsidRPr="005057A8">
        <w:rPr>
          <w:color w:val="FF0000"/>
          <w:sz w:val="24"/>
          <w:szCs w:val="24"/>
        </w:rPr>
        <w:t>Adı – Soyadı</w:t>
      </w:r>
    </w:p>
    <w:p w:rsidR="00527C48" w:rsidRPr="005057A8" w:rsidRDefault="00527C48" w:rsidP="00527C48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  <w:t xml:space="preserve"> </w:t>
      </w:r>
      <w:r w:rsidRPr="008A79F9"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            </w:t>
      </w:r>
      <w:r>
        <w:rPr>
          <w:color w:val="FF0000"/>
          <w:sz w:val="24"/>
          <w:szCs w:val="24"/>
        </w:rPr>
        <w:t>Şirket Yetkilisi/Yetkilileri</w:t>
      </w:r>
      <w:r w:rsidRPr="005057A8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  <w:t xml:space="preserve">        </w:t>
      </w:r>
      <w:r w:rsidRPr="005057A8">
        <w:rPr>
          <w:color w:val="FF0000"/>
          <w:sz w:val="24"/>
          <w:szCs w:val="24"/>
        </w:rPr>
        <w:tab/>
        <w:t xml:space="preserve">    </w:t>
      </w:r>
      <w:r>
        <w:rPr>
          <w:color w:val="FF0000"/>
          <w:sz w:val="24"/>
          <w:szCs w:val="24"/>
        </w:rPr>
        <w:t xml:space="preserve">        </w:t>
      </w:r>
      <w:r w:rsidRPr="005057A8">
        <w:rPr>
          <w:color w:val="FF0000"/>
          <w:sz w:val="24"/>
          <w:szCs w:val="24"/>
        </w:rPr>
        <w:t>Kaşe – İmza</w:t>
      </w:r>
    </w:p>
    <w:p w:rsidR="00561045" w:rsidRPr="009C376A" w:rsidRDefault="00561045" w:rsidP="00561045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>GÜNDEM:</w:t>
      </w:r>
    </w:p>
    <w:p w:rsidR="00561045" w:rsidRPr="009C376A" w:rsidRDefault="00561045" w:rsidP="0056104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 </w:t>
      </w:r>
    </w:p>
    <w:p w:rsidR="00561045" w:rsidRPr="009C376A" w:rsidRDefault="00561045" w:rsidP="0056104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 </w:t>
      </w:r>
    </w:p>
    <w:p w:rsidR="00561045" w:rsidRPr="009C376A" w:rsidRDefault="00561045" w:rsidP="0056104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 </w:t>
      </w:r>
    </w:p>
    <w:p w:rsidR="00561045" w:rsidRPr="009C376A" w:rsidRDefault="00561045" w:rsidP="0056104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9C376A">
        <w:rPr>
          <w:color w:val="000000" w:themeColor="text1"/>
          <w:sz w:val="24"/>
          <w:szCs w:val="24"/>
        </w:rPr>
        <w:t xml:space="preserve"> </w:t>
      </w:r>
    </w:p>
    <w:p w:rsidR="002C459F" w:rsidRPr="000647BE" w:rsidRDefault="002C459F" w:rsidP="00561045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:rsidR="006F30C3" w:rsidRDefault="006F30C3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0647BE" w:rsidRDefault="000647BE" w:rsidP="000647BE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VEKÂLETNAME ÖRNEĞİ</w:t>
      </w:r>
    </w:p>
    <w:p w:rsidR="000647BE" w:rsidRDefault="000647BE" w:rsidP="000647BE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VEKÂLETNAME</w:t>
      </w:r>
    </w:p>
    <w:p w:rsidR="000647BE" w:rsidRDefault="000647BE" w:rsidP="000647BE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Sahibi olduğum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TL toplam itibari değerde paya ilişkin olarak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Limited Şirketi’nin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adresinde saat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:….:….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de yapılacak …….. yılına ait  olağan/olağanüstü genel kurul toplantısında beni temsil etmeye ve gündemdeki maddelerin karara bağlanması için oy kullanmaya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.................................................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yı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vekil tayin ettim.</w:t>
      </w:r>
    </w:p>
    <w:p w:rsidR="000647BE" w:rsidRDefault="000647BE" w:rsidP="000647B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647BE" w:rsidRDefault="000647BE" w:rsidP="000647B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Vekâleti Veren</w:t>
      </w:r>
    </w:p>
    <w:p w:rsidR="000647BE" w:rsidRDefault="000647BE" w:rsidP="000647B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Adı Soyadı / Unvanı</w:t>
      </w:r>
    </w:p>
    <w:p w:rsidR="000647BE" w:rsidRDefault="000647BE" w:rsidP="000647B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Tarih ve İmza</w:t>
      </w:r>
    </w:p>
    <w:p w:rsidR="000647BE" w:rsidRDefault="000647BE" w:rsidP="000647B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647BE" w:rsidRDefault="000647BE" w:rsidP="000647B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Not: Vekâletname noter onaylı şekilde düzenlenmesi gerekmektedir.</w:t>
      </w:r>
    </w:p>
    <w:p w:rsidR="002C459F" w:rsidRPr="000647BE" w:rsidRDefault="000647BE" w:rsidP="000647B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  </w:t>
      </w:r>
    </w:p>
    <w:p w:rsidR="000647BE" w:rsidRDefault="000647BE" w:rsidP="000647B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0647BE" w:rsidRDefault="000647BE" w:rsidP="00064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GENEL KURUL TOPLANTIYA ÇAĞRI İLANLARINDA  </w:t>
      </w:r>
    </w:p>
    <w:p w:rsidR="000647BE" w:rsidRDefault="000647BE" w:rsidP="00064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GÖNDERİLMESİ GEREKEN EVRAKLAR VE</w:t>
      </w:r>
    </w:p>
    <w:p w:rsidR="000647BE" w:rsidRDefault="000647BE" w:rsidP="00064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DİKKAT EDİLMESİ GEREKEN HUSUSLAR</w:t>
      </w:r>
    </w:p>
    <w:p w:rsidR="000647BE" w:rsidRDefault="000647BE" w:rsidP="00064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</w:p>
    <w:p w:rsidR="000647BE" w:rsidRDefault="000647BE" w:rsidP="000647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Dilekçe</w:t>
      </w:r>
    </w:p>
    <w:p w:rsidR="000647BE" w:rsidRDefault="000647BE" w:rsidP="000647B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647BE" w:rsidRDefault="000647BE" w:rsidP="000647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Yayın talebi ile birlikte, irtibat kurulacak kişinin adı soyadı,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telefon numarası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adres bilgisi yazılmalıdır.</w:t>
      </w:r>
    </w:p>
    <w:p w:rsidR="000647BE" w:rsidRDefault="000647BE" w:rsidP="000647B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647BE" w:rsidRDefault="000647BE" w:rsidP="000647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Müdürler Kurulu Kararı </w:t>
      </w:r>
    </w:p>
    <w:p w:rsidR="000647BE" w:rsidRDefault="000647BE" w:rsidP="000647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Şirkette Müdürler Kurulu Başkanı bulunması halinde karar müdürler kurulu başkanı tarafından imzalanmış olmalıdır (TTK 624/2)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Karar Noter onaylı olmalıdır.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Müdürler kurulu başkanının bulunmaması ve birden fazla müdürün varlığı halinde karar çoğunlukla alınmış olmalıdır.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Kararda Genel Kurul Toplantı tarihi, saati, adresi ve gündem yazılmalıdır. </w:t>
      </w:r>
    </w:p>
    <w:p w:rsidR="000647BE" w:rsidRDefault="000647BE" w:rsidP="000647BE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647BE" w:rsidRDefault="000647BE" w:rsidP="000647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İlan metni </w:t>
      </w:r>
    </w:p>
    <w:p w:rsidR="000647BE" w:rsidRDefault="000647BE" w:rsidP="000647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İlan metni düzenlenirken aşağıdaki hususlara dikkat edilmelidir.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günü ve saati,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Toplantı yeri,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Gündem,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Gündemde esas sözleşme değişikliği var ise değişen maddenin/maddelerin eski ve yeni şekilleri,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Çağrının kimin tarafından yapıldığı, (MK Başkanın imzalı, yoksa Md İmzalı)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İlk toplantının herhangi bir nedenle ertelenmesi üzerine genel kurul yeniden toplantıya çağrılıyor ise, erteleme sebebi ile yapılacak toplantıda yeterli olan toplantı nisabı,</w:t>
      </w:r>
    </w:p>
    <w:p w:rsidR="000647BE" w:rsidRDefault="000647BE" w:rsidP="000647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Olağan toplantı ilanlarında;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konsolide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finansal tabloların, yönetim kurulu yıllık faaliyet raporunun, denetleme raporunun ve yönetim kurulunun kâr dağıtım önerisinin şirket merkez ve şube adresleri belirtilmek suretiyle anılan adreslerde pay sahiplerinin incelemesine hazır bulundurulduğu,</w:t>
      </w:r>
    </w:p>
    <w:p w:rsidR="000647BE" w:rsidRDefault="000647BE" w:rsidP="000647BE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647BE" w:rsidRDefault="000647BE" w:rsidP="000647BE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Yapılacak ilanda, genel kurul toplantısında kendisini vekil vasıtasıyla temsil ettirecekler için vekâletname örneklerine de yer verilir.</w:t>
      </w:r>
    </w:p>
    <w:p w:rsidR="000647BE" w:rsidRDefault="000647BE" w:rsidP="00301C80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Kayyım tarafından imzalanan davet ilanının ekinde ilgili mahkeme kararı da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ibraz edilmelidir.</w:t>
      </w:r>
    </w:p>
    <w:p w:rsidR="002E0FDF" w:rsidRDefault="002E0FDF"/>
    <w:p w:rsidR="000647BE" w:rsidRDefault="000647BE"/>
    <w:p w:rsidR="000647BE" w:rsidRDefault="000647BE"/>
    <w:p w:rsidR="000647BE" w:rsidRDefault="000647BE"/>
    <w:p w:rsidR="000647BE" w:rsidRDefault="000647BE"/>
    <w:p w:rsidR="000647BE" w:rsidRDefault="000647BE"/>
    <w:p w:rsidR="000647BE" w:rsidRDefault="000647BE"/>
    <w:p w:rsidR="000647BE" w:rsidRDefault="000647BE" w:rsidP="000647B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16"/>
        </w:rPr>
        <w:t>Önemli Notlar:</w:t>
      </w:r>
      <w:r>
        <w:rPr>
          <w:rFonts w:ascii="Times New Roman" w:hAnsi="Times New Roman" w:cs="Times New Roman"/>
          <w:color w:val="FF0000"/>
          <w:sz w:val="24"/>
          <w:szCs w:val="16"/>
        </w:rPr>
        <w:t xml:space="preserve"> </w:t>
      </w:r>
    </w:p>
    <w:p w:rsidR="000647BE" w:rsidRDefault="000647BE" w:rsidP="000647B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Genel kurul müdürler tarafından toplantıya çağrılır. (6102 sayılı TTK Md.617 (1))</w:t>
      </w:r>
    </w:p>
    <w:p w:rsidR="000647BE" w:rsidRDefault="000647BE" w:rsidP="000647B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Genel kurul, </w:t>
      </w:r>
      <w:r>
        <w:rPr>
          <w:rFonts w:ascii="Times New Roman" w:hAnsi="Times New Roman" w:cs="Times New Roman"/>
          <w:b/>
          <w:sz w:val="24"/>
          <w:szCs w:val="16"/>
          <w:u w:val="single"/>
        </w:rPr>
        <w:t xml:space="preserve">toplantı gününden en az </w:t>
      </w:r>
      <w:proofErr w:type="spellStart"/>
      <w:r>
        <w:rPr>
          <w:rFonts w:ascii="Times New Roman" w:hAnsi="Times New Roman" w:cs="Times New Roman"/>
          <w:b/>
          <w:sz w:val="24"/>
          <w:szCs w:val="16"/>
          <w:u w:val="single"/>
        </w:rPr>
        <w:t>onbeş</w:t>
      </w:r>
      <w:proofErr w:type="spellEnd"/>
      <w:r>
        <w:rPr>
          <w:rFonts w:ascii="Times New Roman" w:hAnsi="Times New Roman" w:cs="Times New Roman"/>
          <w:b/>
          <w:sz w:val="24"/>
          <w:szCs w:val="16"/>
          <w:u w:val="single"/>
        </w:rPr>
        <w:t xml:space="preserve"> gün önce toplantıya çağrılır.</w:t>
      </w:r>
      <w:r>
        <w:rPr>
          <w:rFonts w:ascii="Times New Roman" w:hAnsi="Times New Roman" w:cs="Times New Roman"/>
          <w:sz w:val="24"/>
          <w:szCs w:val="16"/>
        </w:rPr>
        <w:t xml:space="preserve"> Şirket sözleşmesi bu süreyi uzatabilir veya on güne kadar kısaltabilir. (6102 sayılı TTK Md.617 (2))</w:t>
      </w:r>
    </w:p>
    <w:p w:rsidR="000647BE" w:rsidRDefault="000647BE" w:rsidP="000647B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Toplantıya çağrı, azlığın çağrı ve öneri hakkı, gündem, öneriler, çağrısız genel kurul, hazırlık önlemleri, tutanak, yetkisiz katılma konularında </w:t>
      </w:r>
      <w:r>
        <w:rPr>
          <w:rFonts w:ascii="Times New Roman" w:hAnsi="Times New Roman" w:cs="Times New Roman"/>
          <w:sz w:val="24"/>
          <w:szCs w:val="16"/>
          <w:u w:val="single"/>
        </w:rPr>
        <w:t>anonim şirketlere ilişkin hükümler</w:t>
      </w:r>
      <w:r>
        <w:rPr>
          <w:rFonts w:ascii="Times New Roman" w:hAnsi="Times New Roman" w:cs="Times New Roman"/>
          <w:sz w:val="24"/>
          <w:szCs w:val="16"/>
        </w:rPr>
        <w:t xml:space="preserve">, Bakanlık temsilcisine ilişkin olanlar hariç, </w:t>
      </w:r>
      <w:r>
        <w:rPr>
          <w:rFonts w:ascii="Times New Roman" w:hAnsi="Times New Roman" w:cs="Times New Roman"/>
          <w:sz w:val="24"/>
          <w:szCs w:val="16"/>
          <w:u w:val="single"/>
        </w:rPr>
        <w:t>kıyas yoluyla uygulanır</w:t>
      </w:r>
      <w:r>
        <w:rPr>
          <w:rFonts w:ascii="Times New Roman" w:hAnsi="Times New Roman" w:cs="Times New Roman"/>
          <w:sz w:val="24"/>
          <w:szCs w:val="16"/>
        </w:rPr>
        <w:t>. Her ortak kendisini genel kurulda ortak olan veya olmayan bir kişi aracılığıyla temsil ettirebilir. (6102 sayılı TTK Md.617 (3))</w:t>
      </w:r>
    </w:p>
    <w:p w:rsidR="000647BE" w:rsidRDefault="000647BE" w:rsidP="000647B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Gündemde bulunmayan konular genel kurulda müzakere edilemez ve karara bağlanamaz.  Kanuni istisnalar saklıdır. (6102 sayılı TTK Md.413 (2))</w:t>
      </w:r>
    </w:p>
    <w:p w:rsidR="000647BE" w:rsidRDefault="000647BE" w:rsidP="000647B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Aksine esas sözleşmede hüküm bulunmadığı takdirde genel kurul, şirket merkezinin bulunduğu yerde toplanır. (6102 sayılı TTK Md.409 (3))</w:t>
      </w:r>
    </w:p>
    <w:p w:rsidR="000647BE" w:rsidRDefault="000647BE" w:rsidP="000647BE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  <w:u w:val="single"/>
        </w:rPr>
        <w:t>Genel kurul, esas sözleşmenin değiştirilmesi için toplantıya çağrıldığı takdirde</w:t>
      </w:r>
      <w:r>
        <w:rPr>
          <w:rFonts w:ascii="Times New Roman" w:hAnsi="Times New Roman" w:cs="Times New Roman"/>
          <w:sz w:val="24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>
        <w:rPr>
          <w:rFonts w:ascii="Times New Roman" w:hAnsi="Times New Roman" w:cs="Times New Roman"/>
          <w:sz w:val="24"/>
          <w:szCs w:val="16"/>
          <w:u w:val="single"/>
        </w:rPr>
        <w:t>değişiklik taslağının, değiştirilecek mevcut hükümlerle birlikte</w:t>
      </w:r>
      <w:r>
        <w:rPr>
          <w:rFonts w:ascii="Times New Roman" w:hAnsi="Times New Roman" w:cs="Times New Roman"/>
          <w:sz w:val="24"/>
          <w:szCs w:val="16"/>
        </w:rPr>
        <w:t xml:space="preserve"> 414 üncü maddenin birinci fıkrasının birinci cümlesinde belirtildiği şekilde </w:t>
      </w:r>
      <w:r>
        <w:rPr>
          <w:rFonts w:ascii="Times New Roman" w:hAnsi="Times New Roman" w:cs="Times New Roman"/>
          <w:sz w:val="24"/>
          <w:szCs w:val="16"/>
          <w:u w:val="single"/>
        </w:rPr>
        <w:t>ilanı gerekir.</w:t>
      </w:r>
      <w:r>
        <w:rPr>
          <w:rFonts w:ascii="Times New Roman" w:hAnsi="Times New Roman" w:cs="Times New Roman"/>
          <w:sz w:val="24"/>
          <w:szCs w:val="16"/>
        </w:rPr>
        <w:t xml:space="preserve"> (6102 sayılı TTK Md.453)</w:t>
      </w:r>
    </w:p>
    <w:p w:rsidR="000647BE" w:rsidRDefault="000647BE"/>
    <w:sectPr w:rsidR="000647BE" w:rsidSect="002E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45"/>
    <w:rsid w:val="000647BE"/>
    <w:rsid w:val="001B5D37"/>
    <w:rsid w:val="00214C59"/>
    <w:rsid w:val="0028101A"/>
    <w:rsid w:val="002C459F"/>
    <w:rsid w:val="002E0FDF"/>
    <w:rsid w:val="002E39D8"/>
    <w:rsid w:val="00301C80"/>
    <w:rsid w:val="0033330C"/>
    <w:rsid w:val="003C0CEF"/>
    <w:rsid w:val="00406C78"/>
    <w:rsid w:val="00441638"/>
    <w:rsid w:val="004B0FFC"/>
    <w:rsid w:val="005057A8"/>
    <w:rsid w:val="00527C48"/>
    <w:rsid w:val="00561045"/>
    <w:rsid w:val="006A0236"/>
    <w:rsid w:val="006F30C3"/>
    <w:rsid w:val="00704274"/>
    <w:rsid w:val="00952C3A"/>
    <w:rsid w:val="009562E3"/>
    <w:rsid w:val="009A2832"/>
    <w:rsid w:val="009C376A"/>
    <w:rsid w:val="009C4CB6"/>
    <w:rsid w:val="00AB2BD8"/>
    <w:rsid w:val="00B234C2"/>
    <w:rsid w:val="00CF0E58"/>
    <w:rsid w:val="00CF7D5B"/>
    <w:rsid w:val="00DA5AAB"/>
    <w:rsid w:val="00E10FDE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7804"/>
  <w15:docId w15:val="{C95E6A9E-FA25-4F72-B045-13273819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2275DMW4H6TN-389-63</_dlc_DocId>
    <_dlc_DocIdUrl xmlns="02ef6456-6971-40a6-83fa-6b0619ff88f9">
      <Url>http://www.tobb.org.tr/TurkiyeTicaretSicilGazetesi/_layouts/DocIdRedir.aspx?ID=2275DMW4H6TN-389-63</Url>
      <Description>2275DMW4H6TN-389-63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655F-A0EC-487E-BEB9-D0F4BEE31C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2.xml><?xml version="1.0" encoding="utf-8"?>
<ds:datastoreItem xmlns:ds="http://schemas.openxmlformats.org/officeDocument/2006/customXml" ds:itemID="{3AD2C6F4-51C9-4D1F-B6F1-0B9B51DA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5A8A7-86C9-4D14-ADC3-1C94032F38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1302C-246D-42A8-BE96-7C5E9A8948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55A7DF-5055-4E55-B54D-8A0905B3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7</cp:revision>
  <dcterms:created xsi:type="dcterms:W3CDTF">2017-12-04T13:20:00Z</dcterms:created>
  <dcterms:modified xsi:type="dcterms:W3CDTF">2022-07-26T10:45:00Z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ac3eaf93-152d-4f98-b421-dc9f8b33167e</vt:lpwstr>
  </property>
</Properties>
</file>